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cartas de servicio se encuentran en vigor en 2025</w:t>
      </w:r>
    </w:p>
    <w:tbl>
      <w:tblGrid>
        <w:gridCol w:w="2913350" w:type="dxa"/>
        <w:gridCol w:w="214350" w:type="dxa"/>
        <w:gridCol w:w="14600" w:type="dxa"/>
      </w:tblGrid>
      <w:tblPr>
        <w:tblW w:w="469450" w:type="pct"/>
        <w:tblLayout w:type="autofit"/>
        <w:bidiVisual w:val="0"/>
      </w:tblPr>
      <w:tr>
        <w:trPr>
          <w:tblHeader w:val="1"/>
        </w:trPr>
        <w:tc>
          <w:tcPr>
            <w:tcW w:w="2913350" w:type="pct"/>
            <w:shd w:val="clear" w:fill="5ac0e8"/>
            <w:gridSpan w:val="2"/>
          </w:tcPr>
          <w:p>
            <w:pPr/>
            <w:r>
              <w:rPr>
                <w:shd w:val="clear" w:fill="5ac0e8"/>
              </w:rPr>
              <w:t xml:space="preserve">Año</w:t>
            </w:r>
          </w:p>
        </w:tc>
        <w:tc>
          <w:tcPr>
            <w:tcW w:w="214350" w:type="pct"/>
            <w:shd w:val="clear" w:fill="5ac0e8"/>
          </w:tcPr>
          <w:p>
            <w:pPr/>
            <w:r>
              <w:rPr>
                <w:shd w:val="clear" w:fill="5ac0e8"/>
              </w:rPr>
              <w:t xml:space="preserve">Servicio</w:t>
            </w:r>
          </w:p>
        </w:tc>
        <w:tc>
          <w:tcPr>
            <w:tcW w:w="14600" w:type="pct"/>
            <w:shd w:val="clear" w:fill="5ac0e8"/>
          </w:tcPr>
          <w:p>
            <w:pPr/>
            <w:r>
              <w:rPr>
                <w:shd w:val="clear" w:fill="5ac0e8"/>
              </w:rPr>
              <w:t xml:space="preserve">Documento</w:t>
            </w:r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SERVICIOS GENERALES. GESTION DE LA VIA PUBLICA, ARCHENA VERDE Y ARCHENA ENTRE TODOS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CENTRO DE DESARROLLO INFANTIL Y ATENCIÓN TEMPRANA (CDIAT)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OFICINA DE TURISMO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ESCUELA INFANTIL MUNICIPAL “COLORINES”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PADRÓN MUNICIPAL DE HABITANTES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CAVI Archena (Centro de atención especializada para mujeres VÍCTIMAS DE VIOLENCIA DE GÉNERO)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ARCHIVO MUNICIPAL DE ARCHENA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O.M.I.C.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PADRÓN MUNICIPAL DE HABITANTES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CEMENTERIO MUNICIPAL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OFICINA   TÉCNICA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 JURÍDICO-URBANÍSTICO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SERVICIOS SOCIALES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GESTIÓN CATASTRO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CONCEJALÍA DE IGUALDAD DE OPORTUNIDADES Y ÁREA DE FORMACIÓN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GESTIÓN TRIBUTARIA-RENTAS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29133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DEPARTAMENTO DE DEPORTES 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BIBLIOTECA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MUSEO DE ARCHENA</w:t>
            </w:r>
          </w:p>
        </w:tc>
        <w:tc>
          <w:tcPr>
            <w:tcW w:w="14600" w:type="pct"/>
          </w:tcPr>
          <w:p>
            <w:pPr/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GABINETE DE COMUNICACIÓN, PROTOCOLO  Y RELACIONES INSTITUCIONALES DEL  AYUNTAMIENTO DE ARCHENA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CENTRO CULTURAL DE ARCHENA “RAMÓN CENTENERO”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  <w:tr>
        <w:trPr/>
        <w:tc>
          <w:tcPr>
            <w:tcW w:w="469450" w:type="pct"/>
            <w:gridSpan w:val="2"/>
          </w:tcPr>
          <w:p>
            <w:pPr/>
            <w:r>
              <w:rPr>
                <w:b w:val="1"/>
                <w:bCs w:val="1"/>
              </w:rPr>
              <w:t xml:space="preserve">2022</w:t>
            </w:r>
          </w:p>
        </w:tc>
        <w:tc>
          <w:tcPr>
            <w:tcW w:w="214350" w:type="pct"/>
          </w:tcPr>
          <w:p>
            <w:pPr/>
            <w:r>
              <w:rPr>
                <w:b w:val="1"/>
                <w:bCs w:val="1"/>
              </w:rPr>
              <w:t xml:space="preserve">CARTA DE SERVICIOS DE LA ESCUELA MUNICIPAL DE MÚSICA</w:t>
            </w:r>
          </w:p>
        </w:tc>
        <w:tc>
          <w:tcPr>
            <w:tcW w:w="146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2026-09-05T08:45:21+00:00</dcterms:created>
  <dcterms:modified xsi:type="dcterms:W3CDTF">2026-09-05T08:45:21+00:00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