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 </w:t>
      </w:r>
      <w:r>
        <w:rPr>
          <w:i w:val="1"/>
          <w:iCs w:val="1"/>
        </w:rPr>
        <w:t xml:space="preserve">“Perfil del Contratante”</w:t>
      </w:r>
      <w:r>
        <w:rPr/>
        <w:t xml:space="preserve"> es el lugar de la página web de las administraciones públicas en el que se publica la información relativa a la contratación administrativa.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Está regulado en la</w:t>
      </w:r>
    </w:p>
    <w:p>
      <w:pPr>
        <w:jc w:val="both"/>
      </w:pPr>
      <w:r>
        <w:rPr/>
        <w:t xml:space="preserve">Debe contar con un dispositivo informático que garantice la fehaciencia de la fecha y hora de inicio de publicación en el sitio web.</w:t>
      </w:r>
    </w:p>
    <w:p>
      <w:pPr>
        <w:jc w:val="both"/>
      </w:pPr>
      <w:r>
        <w:rPr/>
        <w:t xml:space="preserve">En dicho Portal se pueden encontrar los Anuncios y Licitaciones de Obras Públicas. Se debe entrar en la </w:t>
      </w:r>
      <w:r>
        <w:rPr/>
        <w:t xml:space="preserve"> seleccionar </w:t>
      </w:r>
      <w:r>
        <w:rPr>
          <w:sz w:val="28"/>
          <w:szCs w:val="28"/>
          <w:b w:val="1"/>
          <w:bCs w:val="1"/>
        </w:rPr>
        <w:t xml:space="preserve">“Archena”</w:t>
      </w:r>
      <w:r>
        <w:rPr/>
        <w:t xml:space="preserve"> en organización contratante. Se desplegarán dos perfiles:</w:t>
      </w:r>
    </w:p>
    <w:p>
      <w:pPr>
        <w:jc w:val="both"/>
      </w:pPr>
      <w:r>
        <w:rPr/>
        <w:t xml:space="preserve"> 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>
        <w:jc w:val="both"/>
      </w:pPr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>
        <w:jc w:val="both"/>
      </w:pP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2026-09-05T08:45:45+00:00</dcterms:created>
  <dcterms:modified xsi:type="dcterms:W3CDTF">2026-09-05T08:45:45+00:00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