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/>
        <w:t xml:space="preserve">Durante los ejercicios 2021, 2022, 2023 y 2024 no ha habido una convocatoria pública de subvenciones. Todas las subvenciones que se dan en el Ayuntamiento de Archena son directas y se suelen instrumentalizar a través de convenios.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327450" w:type="pct"/>
        <w:tblLayout w:type="autofit"/>
        <w:bidiVisual w:val="0"/>
      </w:tblPr>
      <w:tcPr>
        <w:shd w:val="clear" w:fill="5ac0e8"/>
      </w:tc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2026-06-04T08:17:20+00:00</dcterms:created>
  <dcterms:modified xsi:type="dcterms:W3CDTF">2026-06-04T08:17:20+00:00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