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  tienen exclusivamente,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>
        <w:jc w:val="both"/>
      </w:pPr>
      <w:r>
        <w:rPr/>
        <w:t xml:space="preserve">Para acceder los Pliegos de los Contratos, se debe entrar en la </w:t>
      </w:r>
      <w:r>
        <w:rPr/>
        <w:t xml:space="preserve"> seleccionar </w:t>
      </w:r>
      <w:r>
        <w:rPr>
          <w:b w:val="1"/>
          <w:bCs w:val="1"/>
        </w:rPr>
        <w:t xml:space="preserve">“Archena”</w:t>
      </w:r>
      <w:r>
        <w:rPr/>
        <w:t xml:space="preserve"> en organización contratante. Se desplegarán dos perfiles: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2026-09-05T08:46:08+00:00</dcterms:created>
  <dcterms:modified xsi:type="dcterms:W3CDTF">2026-09-05T08:46:08+00:00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