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Contaminación atmosférica y calidad del aire</w:t>
      </w:r>
    </w:p>
    <w:p>
      <w:pPr>
        <w:jc w:val="both"/>
      </w:pPr>
      <w:r>
        <w:rPr>
          <w:rFonts w:ascii="Arial" w:hAnsi="Arial" w:eastAsia="Arial" w:cs="Arial"/>
        </w:rPr>
        <w:t xml:space="preserve">La Comunidad Autónoma de la Región de Murcia realiza la evaluación de la calidad del aire mediante su Red de Vigilancia y Control de la Calidad del Aire, que cuenta con un conjunto de estaciones fijas en función de la zonificación del territorio realizada. En el </w:t>
      </w:r>
      <w:r>
        <w:rPr>
          <w:rFonts w:ascii="Arial" w:hAnsi="Arial" w:eastAsia="Arial" w:cs="Arial"/>
        </w:rPr>
        <w:t xml:space="preserve"> se puede consultar la información general sobre calidad del aire del municipio así como la localización, características y parámetros monitorizados por las estaciones.</w:t>
      </w:r>
    </w:p>
    <w:p>
      <w:pPr/>
      <w:r>
        <w:rPr/>
        <w:t xml:space="preserve"> </w:t>
      </w:r>
    </w:p>
    <w:p>
      <w:pPr>
        <w:pStyle w:val="Heading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2026-09-05T08:47:15+00:00</dcterms:created>
  <dcterms:modified xsi:type="dcterms:W3CDTF">2026-09-05T08:47:15+00:00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