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 </w:t>
      </w:r>
      <w:r>
        <w:rPr>
          <w:b w:val="1"/>
          <w:bCs w:val="1"/>
        </w:rPr>
        <w:t xml:space="preserve">Ley 12/2014, de 16 de diciembre, de Transparencia y Participación Ciudadana de la Comunidad Autónoma de la Región de Murcia</w:t>
      </w:r>
      <w:r>
        <w:rPr/>
        <w:t xml:space="preserve"> en su apartado Información presupuestaria y económico-financiera / </w:t>
      </w:r>
      <w:r>
        <w:rPr>
          <w:b w:val="1"/>
          <w:bCs w:val="1"/>
        </w:rPr>
        <w:t xml:space="preserve">1140 Información de las actuaciones de control</w:t>
      </w:r>
      <w:r>
        <w:rPr/>
        <w:t xml:space="preserve">, el Ayuntamiento de Archena, pone en conocimiento de la ciudadanía del municipio y del público en general que durante el 2022 y 2023  no consta información de tal actividad,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2026-09-05T08:47:33+00:00</dcterms:created>
  <dcterms:modified xsi:type="dcterms:W3CDTF">2026-09-05T08:47:33+00:00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