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/>
    </w:p>
    <w:p>
      <w:pPr/>
      <w:r>
        <w:rPr/>
        <w:t xml:space="preserve">Los órganos de contratación del Ayuntamiento de Archena son: </w:t>
      </w:r>
    </w:p>
    <w:p>
      <w:pPr>
        <w:pStyle w:val="Heading5"/>
      </w:pPr>
      <w:r>
        <w:rPr/>
        <w:t xml:space="preserve"> Datos de contacto </w:t>
      </w:r>
    </w:p>
    <w:p>
      <w:pPr>
        <w:pStyle w:val="Heading3"/>
      </w:pPr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Competencias</w:t>
      </w:r>
    </w:p>
    <w:p>
      <w:pPr>
        <w:jc w:val="both"/>
      </w:pPr>
      <w:r>
        <w:rPr/>
        <w:t xml:space="preserve">Respecto a las competencias en materia de contratación en las Entidades Locales, remitirnos a lo establecido en la Disposición adicional 2.a de la Ley 9/2017, de 8 de noviembre, de Contratos del Sector Público, por la que se transponen al ordenamiento jurídico español las Directivas del Parlamento Europeo y del Consejo 2014/23/UE y 2014/24/UE, de 26 de febrero de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2026-09-05T08:48:56+00:00</dcterms:created>
  <dcterms:modified xsi:type="dcterms:W3CDTF">2026-09-05T08:48:56+00:00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